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039" w:rsidRPr="00B26039" w:rsidRDefault="00B26039" w:rsidP="00B26039">
      <w:pPr>
        <w:spacing w:line="500" w:lineRule="exact"/>
        <w:jc w:val="center"/>
        <w:rPr>
          <w:rFonts w:ascii="微软雅黑" w:eastAsia="微软雅黑" w:hAnsi="微软雅黑" w:hint="eastAsia"/>
          <w:b/>
          <w:sz w:val="24"/>
        </w:rPr>
      </w:pPr>
      <w:r w:rsidRPr="00B26039">
        <w:rPr>
          <w:rFonts w:ascii="微软雅黑" w:eastAsia="微软雅黑" w:hAnsi="微软雅黑"/>
          <w:b/>
          <w:sz w:val="24"/>
        </w:rPr>
        <w:t>最高人民法院关于进一步规范终结本次执行程序案件办理，切实保护各方当事人合法权益的通知</w:t>
      </w:r>
    </w:p>
    <w:p w:rsidR="00B26039" w:rsidRPr="00B26039" w:rsidRDefault="00B26039" w:rsidP="00B26039">
      <w:pPr>
        <w:spacing w:line="320" w:lineRule="exact"/>
        <w:rPr>
          <w:rFonts w:ascii="微软雅黑" w:eastAsia="微软雅黑" w:hAnsi="微软雅黑"/>
          <w:sz w:val="22"/>
          <w:szCs w:val="22"/>
        </w:rPr>
      </w:pPr>
    </w:p>
    <w:p w:rsidR="00B26039" w:rsidRPr="00B26039" w:rsidRDefault="00B26039" w:rsidP="00B26039">
      <w:pPr>
        <w:spacing w:line="320" w:lineRule="exact"/>
        <w:rPr>
          <w:rFonts w:ascii="微软雅黑" w:eastAsia="微软雅黑" w:hAnsi="微软雅黑"/>
          <w:sz w:val="22"/>
          <w:szCs w:val="22"/>
        </w:rPr>
      </w:pPr>
      <w:r w:rsidRPr="00B26039">
        <w:rPr>
          <w:rFonts w:ascii="微软雅黑" w:eastAsia="微软雅黑" w:hAnsi="微软雅黑" w:hint="eastAsia"/>
          <w:sz w:val="22"/>
          <w:szCs w:val="22"/>
        </w:rPr>
        <w:t>各省、直辖市高级人民法院，解放军军事法院，新疆维吾尔高级人民法院生产建设兵团分院：</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2016年11月4日,国务院下发《关于完善产权保护制度依法保护产权的意见》（中发〔2016〕28号，以下简称《意见》）。11月10日，最高人民法院召开学</w:t>
      </w:r>
      <w:r>
        <w:rPr>
          <w:rFonts w:ascii="微软雅黑" w:eastAsia="微软雅黑" w:hAnsi="微软雅黑" w:hint="eastAsia"/>
          <w:sz w:val="22"/>
          <w:szCs w:val="22"/>
        </w:rPr>
        <w:t>习</w:t>
      </w:r>
      <w:r w:rsidRPr="00B26039">
        <w:rPr>
          <w:rFonts w:ascii="微软雅黑" w:eastAsia="微软雅黑" w:hAnsi="微软雅黑" w:hint="eastAsia"/>
          <w:sz w:val="22"/>
          <w:szCs w:val="22"/>
        </w:rPr>
        <w:t>贯彻《意见》专题会议，要求深入贯彻落实《意见》精神，充分发挥人民法院审判职能作用，依法保护各种所有制经济组织和公民财产权，不断推进产权保护法治化，为经济社会发展提供有力司法保障。根据《意见》及上述会议精神，现就执行程序中贯彻落实产权保护制度、依法保护产权提出以下工作要求：</w:t>
      </w:r>
    </w:p>
    <w:p w:rsidR="00B26039" w:rsidRPr="00B26039" w:rsidRDefault="00B26039" w:rsidP="00B26039">
      <w:pPr>
        <w:spacing w:line="320" w:lineRule="exact"/>
        <w:ind w:firstLineChars="200" w:firstLine="440"/>
        <w:rPr>
          <w:rFonts w:ascii="微软雅黑" w:eastAsia="微软雅黑" w:hAnsi="微软雅黑"/>
          <w:color w:val="C00000"/>
          <w:sz w:val="22"/>
          <w:szCs w:val="22"/>
        </w:rPr>
      </w:pPr>
      <w:r w:rsidRPr="00B26039">
        <w:rPr>
          <w:rFonts w:ascii="微软雅黑" w:eastAsia="微软雅黑" w:hAnsi="微软雅黑" w:hint="eastAsia"/>
          <w:color w:val="C00000"/>
          <w:sz w:val="22"/>
          <w:szCs w:val="22"/>
        </w:rPr>
        <w:t>一、在执行工作中牢固树立依法保护产权的理念。</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执行工作是整个司法程序中的关键一环，是运用国家强制力实现生效裁判的复杂过程，既关系胜诉债权的实现，也关系被执行人、案外人等相关方的合法产权保护，关系经济社会发展大局。各级人民法院要严格依照法律规定执行，既要最大限度地让债权人实现胜诉权益，又不能随意扩大执行范围，侵犯被执行人、案外人等相关方的合法产权；要牢固树立依法执行、文明执行、善意执行理念，在充分考虑和保护债权人合法权益的基础上，统筹兼顾相关方利益，把握执行时机，讲究执行策略，注意执行方法，努力实现执行的法律效果与社会效果有机统一，加大执行力度与保护各方合法权益有机统一，履行职责与服务大局、促进发展有机统一，努力让人民群众在每一个执行案件中感受到公平正义。</w:t>
      </w:r>
    </w:p>
    <w:p w:rsidR="00B26039" w:rsidRPr="00B26039" w:rsidRDefault="00B26039" w:rsidP="00B26039">
      <w:pPr>
        <w:spacing w:line="320" w:lineRule="exact"/>
        <w:ind w:firstLineChars="200" w:firstLine="440"/>
        <w:rPr>
          <w:rFonts w:ascii="微软雅黑" w:eastAsia="微软雅黑" w:hAnsi="微软雅黑"/>
          <w:color w:val="C00000"/>
          <w:sz w:val="22"/>
          <w:szCs w:val="22"/>
        </w:rPr>
      </w:pPr>
      <w:r w:rsidRPr="00B26039">
        <w:rPr>
          <w:rFonts w:ascii="微软雅黑" w:eastAsia="微软雅黑" w:hAnsi="微软雅黑" w:hint="eastAsia"/>
          <w:color w:val="C00000"/>
          <w:sz w:val="22"/>
          <w:szCs w:val="22"/>
        </w:rPr>
        <w:t>二、依法准确甄别被执行人财产。</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只能执行被执行人的财产，是法院强制执行的基本法律原则。各级人民法院在执行过程中，要依法准确甄别被执行人财产，加强对财产登记、权属证书、证明及有关信息的审查，加强与有关财产权属登记部门的沟通合作，推进信息化执行查询机制建设，准确、及时地甄别被执行人财产，避免对案外人等非被执行人的合法财产采取强制执行措施。同时，对确定属于执行人的财产，则应加大执行力度，及时执行到位，确保申请执行人的债权及时兑现。</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在财产刑案件执行中，要依法严格区分违法所得和合法财产，对于经过审理不能确认为违法所得的，不得判决追缴或者责令退赔；严格区分个人财产和企业法人财产，处理股东、企业经营管理者等自然人犯罪不得任意牵连企业法人财产，处理企业犯罪不得任意牵连股东、企业经营管理者个人合法财产；严格区分涉案人员个人财产和家庭成员财产，处理涉案人员犯罪不得牵连其家庭成员合法财产。</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在执行程序中直接变更、追加被执行人的，应严格限定于法律、司法解释明确规定的情形。各级人民法院应严格依照即将施行的《最高人民法院关于民事执行中变更、追加当事人若干问题的规定》，避免随意扩大变更、追加范围。</w:t>
      </w:r>
    </w:p>
    <w:p w:rsidR="00B26039" w:rsidRPr="00B26039" w:rsidRDefault="00B26039" w:rsidP="00B26039">
      <w:pPr>
        <w:spacing w:line="320" w:lineRule="exact"/>
        <w:ind w:firstLineChars="200" w:firstLine="440"/>
        <w:rPr>
          <w:rFonts w:ascii="微软雅黑" w:eastAsia="微软雅黑" w:hAnsi="微软雅黑"/>
          <w:color w:val="C00000"/>
          <w:sz w:val="22"/>
          <w:szCs w:val="22"/>
        </w:rPr>
      </w:pPr>
      <w:r w:rsidRPr="00B26039">
        <w:rPr>
          <w:rFonts w:ascii="微软雅黑" w:eastAsia="微软雅黑" w:hAnsi="微软雅黑" w:hint="eastAsia"/>
          <w:color w:val="C00000"/>
          <w:sz w:val="22"/>
          <w:szCs w:val="22"/>
        </w:rPr>
        <w:t>三、在采取查冻扣措施时注意把握执行政策。</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查封、扣押、冻结财产要严格遵守相应的适用条件与法定程序，坚决杜绝超范围、超标的查封、扣押、冻结财产，对银行账户内资金采取冻结措施的，应当明确具体冻结数额；对土地、房屋等不动产保全查封时，如果登记在一个权利证书下的不动产价值超过应保全的数额，则应加强与国土部门的沟通、协商，尽量仅对该不动产的相应价值部分采取保全措施，避免影响其他部分财产权益的正常行使。</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在采取具体执行措施时，要注意把握执行政策，尽量寻求依法平等保护各方利益的平衡点：对能采取“活封”“活扣”措施的，尽量不“死封”“死扣”，使保全财产继续发挥其财产价值，防止减损当事人利益，如对厂房、机器设备等生产经营性财产进行保全时，指定被保全人保管的，应当允许其继续使用；对车辆进行查封，可考虑与交管部门建立协助执行机制，以在车辆行驶证上加注查封标记的方式进行，既可防止被查封车辆被擅自转让，也能让车辆继续使用，避免“死封”带来的价值贬损及高昂停车费用。对有多种财产并存的，尽量优先采取方便执行且对当事人生产经营影响较小的执行措施。在不损害债权人利益前提下，允许被执行人在法院监督下处置财产，尽可能保全财产市场价值。在条件允许的情况下可以为企业预留必要的流动资金和往来账户，最大限度降低对企业正常生产经营活动的不利影响。对符合法定情形的，应当在法定期限内及时解除保全措施，避免因拖延解保给被保全人带来财产损失。《最高人民法院关于人民法院办理财产保全案件若干问题的规定》即将正式施行，各级人民法院要在执行工作中认真贯彻落实。</w:t>
      </w:r>
    </w:p>
    <w:p w:rsidR="00B26039" w:rsidRPr="00B26039" w:rsidRDefault="00B26039" w:rsidP="00B26039">
      <w:pPr>
        <w:spacing w:line="320" w:lineRule="exact"/>
        <w:ind w:firstLineChars="200" w:firstLine="440"/>
        <w:rPr>
          <w:rFonts w:ascii="微软雅黑" w:eastAsia="微软雅黑" w:hAnsi="微软雅黑"/>
          <w:color w:val="C00000"/>
          <w:sz w:val="22"/>
          <w:szCs w:val="22"/>
        </w:rPr>
      </w:pPr>
      <w:r w:rsidRPr="00B26039">
        <w:rPr>
          <w:rFonts w:ascii="微软雅黑" w:eastAsia="微软雅黑" w:hAnsi="微软雅黑" w:hint="eastAsia"/>
          <w:color w:val="C00000"/>
          <w:sz w:val="22"/>
          <w:szCs w:val="22"/>
        </w:rPr>
        <w:t>四、提高财产处置变现效率。</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对被依法查封的财产进行变价处置时，要依法优先采取拍卖等有利于公开公平公正实现财产价值的变现方</w:t>
      </w:r>
      <w:r w:rsidRPr="00B26039">
        <w:rPr>
          <w:rFonts w:ascii="微软雅黑" w:eastAsia="微软雅黑" w:hAnsi="微软雅黑" w:hint="eastAsia"/>
          <w:sz w:val="22"/>
          <w:szCs w:val="22"/>
        </w:rPr>
        <w:lastRenderedPageBreak/>
        <w:t>式。要严格规范评估、拍卖、变卖和以物抵债等变价环节，防止对拟处置财产低估贱卖，侵害被执行人合法权益。对于司法强制拍卖要求一次性付清价款，门槛较高，可能不利于扩大竞买范围的问题，可借鉴部分地方法院的成熟经验，在司法拍卖中开展与银行业金融机构的按揭合作，降低竞买门槛，通过更广范围的竞价更好地让拍品变现。2017年1月1日起，全面推行优先用网络司法拍卖方式处置财产，以降低处置成本、提高成交率、溢价率，保护双方当事人的合法权益。各级人民法院要认真贯彻落实《最高人民法院关于人民法院网络司法拍卖若干问题的规定》最大限度提高司法财产处置的公开性、透明度，坚决杜绝任何形式的暗箱操作，有效去除拍卖环节的权力寻租空间，斩断利益链条。</w:t>
      </w:r>
    </w:p>
    <w:p w:rsidR="00B26039" w:rsidRPr="00B26039" w:rsidRDefault="00B26039" w:rsidP="00B26039">
      <w:pPr>
        <w:spacing w:line="320" w:lineRule="exact"/>
        <w:ind w:firstLineChars="200" w:firstLine="440"/>
        <w:rPr>
          <w:rFonts w:ascii="微软雅黑" w:eastAsia="微软雅黑" w:hAnsi="微软雅黑"/>
          <w:color w:val="C00000"/>
          <w:sz w:val="22"/>
          <w:szCs w:val="22"/>
        </w:rPr>
      </w:pPr>
      <w:r w:rsidRPr="00B26039">
        <w:rPr>
          <w:rFonts w:ascii="微软雅黑" w:eastAsia="微软雅黑" w:hAnsi="微软雅黑" w:hint="eastAsia"/>
          <w:color w:val="C00000"/>
          <w:sz w:val="22"/>
          <w:szCs w:val="22"/>
        </w:rPr>
        <w:t>五、规范执行案款管理与发放。</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对于已经执行到位的执行案款，除有权属争议或存在参与分配等不宜立即发放情形的，应按照规定时限及时发还债权人，坚决避免执行案款长期沉淀在法院账户，以维护各方当事人的合法权益，最大限度地铲除侵占、挪用执行案款的土壤。各级人民法院要在今年开展执行案款集中清理工作成果的基础上，积极探索建立“一案一账户”的执行案款归集管理制度，形成案、款、人一一对应，账目清晰、程序透明、发放高效的规范化管理新模式。</w:t>
      </w:r>
    </w:p>
    <w:p w:rsidR="00B26039" w:rsidRPr="00B26039" w:rsidRDefault="00B26039" w:rsidP="00B26039">
      <w:pPr>
        <w:spacing w:line="320" w:lineRule="exact"/>
        <w:ind w:firstLineChars="200" w:firstLine="440"/>
        <w:rPr>
          <w:rFonts w:ascii="微软雅黑" w:eastAsia="微软雅黑" w:hAnsi="微软雅黑"/>
          <w:color w:val="C00000"/>
          <w:sz w:val="22"/>
          <w:szCs w:val="22"/>
        </w:rPr>
      </w:pPr>
      <w:r w:rsidRPr="00B26039">
        <w:rPr>
          <w:rFonts w:ascii="微软雅黑" w:eastAsia="微软雅黑" w:hAnsi="微软雅黑" w:hint="eastAsia"/>
          <w:color w:val="C00000"/>
          <w:sz w:val="22"/>
          <w:szCs w:val="22"/>
        </w:rPr>
        <w:t>六、严格规范适用终结本次执行程序。</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 xml:space="preserve">各级人民法院应严格落实即将正式施行的《最高人民法院关于终结本次执行程序若干问题的意见（试行）》，规范终结本次执行程序的适用，坚决避免为片面追求结案率而滥用终本程序，将具备执行条件的案件“一终了事”，导致执行案件涉及的财产长期滞留在执行程序中，不能得到有效的处置和利用，同时，对已有的终结本次执行程序案件进行梳理，对于符合恢复执行条件的案件要及时恢复执行，对于进入终结本次执行程序的被执行人依法采取限制消费措施。  </w:t>
      </w:r>
    </w:p>
    <w:p w:rsidR="00B26039" w:rsidRPr="00B26039" w:rsidRDefault="00B26039" w:rsidP="00B26039">
      <w:pPr>
        <w:spacing w:line="320" w:lineRule="exact"/>
        <w:ind w:firstLineChars="200" w:firstLine="440"/>
        <w:rPr>
          <w:rFonts w:ascii="微软雅黑" w:eastAsia="微软雅黑" w:hAnsi="微软雅黑"/>
          <w:color w:val="C00000"/>
          <w:sz w:val="22"/>
          <w:szCs w:val="22"/>
        </w:rPr>
      </w:pPr>
      <w:r w:rsidRPr="00B26039">
        <w:rPr>
          <w:rFonts w:ascii="微软雅黑" w:eastAsia="微软雅黑" w:hAnsi="微软雅黑" w:hint="eastAsia"/>
          <w:color w:val="C00000"/>
          <w:sz w:val="22"/>
          <w:szCs w:val="22"/>
        </w:rPr>
        <w:t>七、要严格落实执行异议制度。</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切实推进立案登记制在执行领域的贯彻落实，当事人、案外人对执行财产权属等提出异议的，要做到有案必立、有诉必理，保障当事人的救济权利。对于执行领域中已经发现的社会反映强烈的产权申诉案件，应及时依法审查，确属执行错误的，要坚持有错必纠的原则及时予以纠正。</w:t>
      </w:r>
    </w:p>
    <w:p w:rsidR="00B26039" w:rsidRPr="00B26039" w:rsidRDefault="00B26039" w:rsidP="00B26039">
      <w:pPr>
        <w:spacing w:line="320" w:lineRule="exact"/>
        <w:ind w:firstLineChars="200" w:firstLine="440"/>
        <w:rPr>
          <w:rFonts w:ascii="微软雅黑" w:eastAsia="微软雅黑" w:hAnsi="微软雅黑"/>
          <w:color w:val="C00000"/>
          <w:sz w:val="22"/>
          <w:szCs w:val="22"/>
        </w:rPr>
      </w:pPr>
      <w:r w:rsidRPr="00B26039">
        <w:rPr>
          <w:rFonts w:ascii="微软雅黑" w:eastAsia="微软雅黑" w:hAnsi="微软雅黑" w:hint="eastAsia"/>
          <w:color w:val="C00000"/>
          <w:sz w:val="22"/>
          <w:szCs w:val="22"/>
        </w:rPr>
        <w:t>八、依法用好执行和解制度。</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依法推进执行中债务重组及和解，对符合条件的，可以引导各方当事人积极达成重组、和解协议，采取分期偿债、收入抵债等方式，既保障被执行人利益，又兼顾被执行人利益。</w:t>
      </w:r>
    </w:p>
    <w:p w:rsidR="00B26039" w:rsidRPr="00B26039" w:rsidRDefault="00B26039" w:rsidP="00B26039">
      <w:pPr>
        <w:spacing w:line="320" w:lineRule="exact"/>
        <w:ind w:firstLineChars="200" w:firstLine="440"/>
        <w:rPr>
          <w:rFonts w:ascii="微软雅黑" w:eastAsia="微软雅黑" w:hAnsi="微软雅黑"/>
          <w:color w:val="C00000"/>
          <w:sz w:val="22"/>
          <w:szCs w:val="22"/>
        </w:rPr>
      </w:pPr>
      <w:r w:rsidRPr="00B26039">
        <w:rPr>
          <w:rFonts w:ascii="微软雅黑" w:eastAsia="微软雅黑" w:hAnsi="微软雅黑" w:hint="eastAsia"/>
          <w:color w:val="C00000"/>
          <w:sz w:val="22"/>
          <w:szCs w:val="22"/>
        </w:rPr>
        <w:t>九、充分发挥执行信访工作的作用。</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要有效发挥执行信访工作在发现、纠正执行不作为、乱作为方面的功能作用，对来信来访中反映的不作为、乱作为案件要扭住不放，一查到底，一抓到底。凡是反映情况属实的坚决及时纠正。对上级法院挂网督办或以其他方式督办的案件必须在指定期限内报送处理结果。对措施不力、拖延办理或拒不办理的，要按照有关规定约谈有关领导及责任人，并定期向全国法院通报。</w:t>
      </w:r>
    </w:p>
    <w:p w:rsidR="00B26039" w:rsidRPr="00B26039" w:rsidRDefault="00B26039" w:rsidP="00B26039">
      <w:pPr>
        <w:spacing w:line="320" w:lineRule="exact"/>
        <w:ind w:firstLineChars="200" w:firstLine="440"/>
        <w:rPr>
          <w:rFonts w:ascii="微软雅黑" w:eastAsia="微软雅黑" w:hAnsi="微软雅黑"/>
          <w:color w:val="C00000"/>
          <w:sz w:val="22"/>
          <w:szCs w:val="22"/>
        </w:rPr>
      </w:pPr>
      <w:r w:rsidRPr="00B26039">
        <w:rPr>
          <w:rFonts w:ascii="微软雅黑" w:eastAsia="微软雅黑" w:hAnsi="微软雅黑" w:hint="eastAsia"/>
          <w:color w:val="C00000"/>
          <w:sz w:val="22"/>
          <w:szCs w:val="22"/>
        </w:rPr>
        <w:t>十、以信息化手段强化执行监督管理。</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各级法院要充分运用信息化手段，加强对执行案件流程的监督管理。2016年11月底，四级法院统一的办案平台和流程节点管理平台将在全国3519个法院全面运行。通过执行流程节点管理，严格执行办案期限，有效解决消极执行、拖延执行、选择性执行等问题。各级法院要安排专门的监督管理人员，对流程节点及时管理监控，对执行办案流程中出现的各种违规现象要即查即纠，充分发挥平台在规范执行行为，全面及时监督管理，全面及时纠偏纠错方面的功能作用，彻底改变执行监督管理弱化、存在死角和漏洞的局面。</w:t>
      </w:r>
    </w:p>
    <w:p w:rsidR="00B26039" w:rsidRPr="00B26039" w:rsidRDefault="00B26039" w:rsidP="00B26039">
      <w:pPr>
        <w:spacing w:line="320" w:lineRule="exact"/>
        <w:ind w:firstLineChars="200" w:firstLine="440"/>
        <w:rPr>
          <w:rFonts w:ascii="微软雅黑" w:eastAsia="微软雅黑" w:hAnsi="微软雅黑"/>
          <w:sz w:val="22"/>
          <w:szCs w:val="22"/>
        </w:rPr>
      </w:pPr>
      <w:r w:rsidRPr="00B26039">
        <w:rPr>
          <w:rFonts w:ascii="微软雅黑" w:eastAsia="微软雅黑" w:hAnsi="微软雅黑" w:hint="eastAsia"/>
          <w:sz w:val="22"/>
          <w:szCs w:val="22"/>
        </w:rPr>
        <w:t>请各高级人民法院将本通知精神迅速传达到辖区内各级人民法院，并加强督促与指导，确保本通知精神的及时有效落实。</w:t>
      </w:r>
    </w:p>
    <w:p w:rsidR="00B26039" w:rsidRPr="00B26039" w:rsidRDefault="00B26039" w:rsidP="00B26039">
      <w:pPr>
        <w:spacing w:line="320" w:lineRule="exact"/>
        <w:ind w:firstLineChars="200" w:firstLine="440"/>
        <w:jc w:val="right"/>
        <w:rPr>
          <w:rFonts w:ascii="微软雅黑" w:eastAsia="微软雅黑" w:hAnsi="微软雅黑" w:hint="eastAsia"/>
          <w:sz w:val="22"/>
          <w:szCs w:val="22"/>
        </w:rPr>
      </w:pPr>
      <w:r w:rsidRPr="00B26039">
        <w:rPr>
          <w:rFonts w:ascii="微软雅黑" w:eastAsia="微软雅黑" w:hAnsi="微软雅黑" w:hint="eastAsia"/>
          <w:sz w:val="22"/>
          <w:szCs w:val="22"/>
        </w:rPr>
        <w:t xml:space="preserve">                                       最高人民法院</w:t>
      </w:r>
    </w:p>
    <w:p w:rsidR="00B26039" w:rsidRPr="00B26039" w:rsidRDefault="00B26039" w:rsidP="00B26039">
      <w:pPr>
        <w:spacing w:line="320" w:lineRule="exact"/>
        <w:ind w:firstLineChars="200" w:firstLine="440"/>
        <w:jc w:val="right"/>
        <w:rPr>
          <w:rFonts w:ascii="微软雅黑" w:eastAsia="微软雅黑" w:hAnsi="微软雅黑" w:hint="eastAsia"/>
          <w:sz w:val="22"/>
          <w:szCs w:val="22"/>
        </w:rPr>
      </w:pPr>
      <w:r w:rsidRPr="00B26039">
        <w:rPr>
          <w:rFonts w:ascii="微软雅黑" w:eastAsia="微软雅黑" w:hAnsi="微软雅黑" w:hint="eastAsia"/>
          <w:sz w:val="22"/>
          <w:szCs w:val="22"/>
        </w:rPr>
        <w:t xml:space="preserve">                                     2016年11月22日</w:t>
      </w:r>
    </w:p>
    <w:p w:rsidR="00B26039" w:rsidRPr="00B26039" w:rsidRDefault="00B26039" w:rsidP="00B26039">
      <w:pPr>
        <w:spacing w:line="320" w:lineRule="exact"/>
        <w:ind w:firstLineChars="200" w:firstLine="440"/>
        <w:jc w:val="right"/>
        <w:rPr>
          <w:rFonts w:ascii="微软雅黑" w:eastAsia="微软雅黑" w:hAnsi="微软雅黑" w:hint="eastAsia"/>
          <w:sz w:val="22"/>
          <w:szCs w:val="22"/>
        </w:rPr>
      </w:pPr>
    </w:p>
    <w:p w:rsidR="00B26039" w:rsidRPr="00B26039" w:rsidRDefault="00B26039" w:rsidP="00B26039">
      <w:pPr>
        <w:spacing w:line="320" w:lineRule="exact"/>
        <w:ind w:firstLineChars="200" w:firstLine="440"/>
        <w:jc w:val="right"/>
        <w:rPr>
          <w:rFonts w:ascii="微软雅黑" w:eastAsia="微软雅黑" w:hAnsi="微软雅黑" w:hint="eastAsia"/>
          <w:sz w:val="22"/>
          <w:szCs w:val="22"/>
        </w:rPr>
      </w:pPr>
      <w:r w:rsidRPr="00B26039">
        <w:rPr>
          <w:rFonts w:ascii="微软雅黑" w:eastAsia="微软雅黑" w:hAnsi="微软雅黑" w:hint="eastAsia"/>
          <w:sz w:val="22"/>
          <w:szCs w:val="22"/>
        </w:rPr>
        <w:t xml:space="preserve">                                最高人民法院办公厅秘书一处</w:t>
      </w:r>
    </w:p>
    <w:p w:rsidR="003B2256" w:rsidRPr="00B26039" w:rsidRDefault="00B26039" w:rsidP="00B26039">
      <w:pPr>
        <w:spacing w:line="320" w:lineRule="exact"/>
        <w:ind w:firstLineChars="200" w:firstLine="440"/>
        <w:jc w:val="right"/>
        <w:rPr>
          <w:rFonts w:ascii="微软雅黑" w:eastAsia="微软雅黑" w:hAnsi="微软雅黑"/>
          <w:sz w:val="22"/>
          <w:szCs w:val="22"/>
        </w:rPr>
      </w:pPr>
      <w:r w:rsidRPr="00B26039">
        <w:rPr>
          <w:rFonts w:ascii="微软雅黑" w:eastAsia="微软雅黑" w:hAnsi="微软雅黑" w:hint="eastAsia"/>
          <w:sz w:val="22"/>
          <w:szCs w:val="22"/>
        </w:rPr>
        <w:t xml:space="preserve">                                    2016年11月24日印发</w:t>
      </w:r>
    </w:p>
    <w:sectPr w:rsidR="003B2256" w:rsidRPr="00B26039"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F42" w:rsidRDefault="00FC5F42" w:rsidP="003B2256">
      <w:r>
        <w:separator/>
      </w:r>
    </w:p>
  </w:endnote>
  <w:endnote w:type="continuationSeparator" w:id="0">
    <w:p w:rsidR="00FC5F42" w:rsidRDefault="00FC5F42"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FC1CA3">
    <w:pPr>
      <w:tabs>
        <w:tab w:val="center" w:pos="4153"/>
        <w:tab w:val="right" w:pos="8306"/>
      </w:tabs>
      <w:rPr>
        <w:rFonts w:ascii="宋体" w:hAnsi="宋体" w:cs="宋体"/>
        <w:sz w:val="28"/>
        <w:szCs w:val="28"/>
      </w:rPr>
    </w:pPr>
    <w:r w:rsidRPr="00FC1CA3">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FC1CA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C1CA3">
                  <w:rPr>
                    <w:rFonts w:ascii="宋体" w:hAnsi="宋体" w:cs="宋体" w:hint="eastAsia"/>
                    <w:sz w:val="28"/>
                    <w:szCs w:val="28"/>
                  </w:rPr>
                  <w:fldChar w:fldCharType="separate"/>
                </w:r>
                <w:r w:rsidR="00143413">
                  <w:rPr>
                    <w:rFonts w:ascii="宋体" w:hAnsi="宋体" w:cs="宋体"/>
                    <w:noProof/>
                    <w:sz w:val="28"/>
                    <w:szCs w:val="28"/>
                  </w:rPr>
                  <w:t>2</w:t>
                </w:r>
                <w:r w:rsidR="00FC1CA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FC1CA3">
    <w:pPr>
      <w:tabs>
        <w:tab w:val="center" w:pos="4153"/>
        <w:tab w:val="right" w:pos="8306"/>
      </w:tabs>
      <w:rPr>
        <w:rFonts w:ascii="宋体" w:hAnsi="宋体" w:cs="宋体"/>
        <w:sz w:val="28"/>
        <w:szCs w:val="28"/>
      </w:rPr>
    </w:pPr>
    <w:r w:rsidRPr="00FC1CA3">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FC1CA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FC1CA3">
                  <w:rPr>
                    <w:rFonts w:ascii="宋体" w:hAnsi="宋体" w:cs="宋体" w:hint="eastAsia"/>
                    <w:sz w:val="28"/>
                    <w:szCs w:val="28"/>
                  </w:rPr>
                  <w:fldChar w:fldCharType="separate"/>
                </w:r>
                <w:r w:rsidR="00B26039">
                  <w:rPr>
                    <w:rFonts w:ascii="宋体" w:hAnsi="宋体" w:cs="宋体"/>
                    <w:noProof/>
                    <w:sz w:val="28"/>
                    <w:szCs w:val="28"/>
                  </w:rPr>
                  <w:t>2</w:t>
                </w:r>
                <w:r w:rsidR="00FC1CA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F42" w:rsidRDefault="00FC5F42" w:rsidP="003B2256">
      <w:r>
        <w:separator/>
      </w:r>
    </w:p>
  </w:footnote>
  <w:footnote w:type="continuationSeparator" w:id="0">
    <w:p w:rsidR="00FC5F42" w:rsidRDefault="00FC5F42"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54EB8"/>
    <w:rsid w:val="0064282F"/>
    <w:rsid w:val="00690873"/>
    <w:rsid w:val="007630C3"/>
    <w:rsid w:val="00793835"/>
    <w:rsid w:val="007B0DAB"/>
    <w:rsid w:val="00803A63"/>
    <w:rsid w:val="00872005"/>
    <w:rsid w:val="00984D89"/>
    <w:rsid w:val="009969A5"/>
    <w:rsid w:val="009E1211"/>
    <w:rsid w:val="00B26039"/>
    <w:rsid w:val="00CF39F7"/>
    <w:rsid w:val="00D619CC"/>
    <w:rsid w:val="00D771C4"/>
    <w:rsid w:val="00DD58FE"/>
    <w:rsid w:val="00F20EB7"/>
    <w:rsid w:val="00F96AE7"/>
    <w:rsid w:val="00FA5538"/>
    <w:rsid w:val="00FC1CA3"/>
    <w:rsid w:val="00FC5F42"/>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41</TotalTime>
  <Pages>2</Pages>
  <Words>523</Words>
  <Characters>2985</Characters>
  <Application>Microsoft Office Word</Application>
  <DocSecurity>0</DocSecurity>
  <Lines>24</Lines>
  <Paragraphs>7</Paragraphs>
  <ScaleCrop>false</ScaleCrop>
  <Company>Newdaxie</Company>
  <LinksUpToDate>false</LinksUpToDate>
  <CharactersWithSpaces>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